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:rsidTr="00745EC4">
        <w:trPr>
          <w:trHeight w:val="257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1</w:t>
            </w:r>
          </w:p>
          <w:p w:rsidR="001811F9" w:rsidRPr="00745EC4" w:rsidRDefault="00D24948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Conhecendo</w:t>
            </w:r>
            <w:r w:rsidR="006813AE" w:rsidRPr="00745EC4">
              <w:rPr>
                <w:sz w:val="16"/>
                <w:szCs w:val="24"/>
              </w:rPr>
              <w:t xml:space="preserve"> o Instrumento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Entendendo as Teclas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Contextualizando as Teclas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Ostinatos 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Movimento dos dedos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As 5 notas das linhas e as 5 dos espaços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2</w:t>
            </w:r>
          </w:p>
          <w:p w:rsidR="001811F9" w:rsidRPr="00745EC4" w:rsidRDefault="00AE6D6D" w:rsidP="001811F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e execução de escalas </w:t>
            </w:r>
            <w:r w:rsidR="00D24948">
              <w:rPr>
                <w:sz w:val="16"/>
                <w:szCs w:val="24"/>
              </w:rPr>
              <w:t>Maiores</w:t>
            </w:r>
          </w:p>
          <w:p w:rsidR="001811F9" w:rsidRPr="00745EC4" w:rsidRDefault="00AE6D6D" w:rsidP="006813A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Ciclo das quintas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de acordes </w:t>
            </w:r>
          </w:p>
          <w:p w:rsidR="006813AE" w:rsidRPr="00745EC4" w:rsidRDefault="00AE6D6D" w:rsidP="00AE6D6D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de campo harmônico </w:t>
            </w:r>
          </w:p>
          <w:p w:rsidR="00F62B61" w:rsidRPr="00745EC4" w:rsidRDefault="00F62B61" w:rsidP="00F62B61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Ação combinada</w:t>
            </w:r>
          </w:p>
          <w:p w:rsidR="00F62B61" w:rsidRPr="00745EC4" w:rsidRDefault="00F62B61" w:rsidP="00F62B61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Elaboração de repertório </w:t>
            </w:r>
          </w:p>
        </w:tc>
      </w:tr>
      <w:tr w:rsidR="001811F9" w:rsidTr="00745EC4">
        <w:trPr>
          <w:trHeight w:val="26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3</w:t>
            </w:r>
          </w:p>
          <w:p w:rsidR="001811F9" w:rsidRPr="00745EC4" w:rsidRDefault="00F62B61" w:rsidP="006813AE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e execução de </w:t>
            </w:r>
            <w:r w:rsidR="006813AE" w:rsidRPr="00745EC4">
              <w:rPr>
                <w:sz w:val="16"/>
                <w:szCs w:val="24"/>
              </w:rPr>
              <w:t>Escalas Menores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Função dos Pedais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Harmonização de melodias </w:t>
            </w:r>
          </w:p>
          <w:p w:rsidR="00F62B61" w:rsidRPr="00745EC4" w:rsidRDefault="00F62B61" w:rsidP="006813AE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Interpretando cifras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Analise harmônica 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Ação combinada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4</w:t>
            </w:r>
          </w:p>
          <w:p w:rsidR="001811F9" w:rsidRPr="00745EC4" w:rsidRDefault="006813AE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Construção Melódica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Sinais de </w:t>
            </w:r>
            <w:r w:rsidR="006813AE" w:rsidRPr="00745EC4">
              <w:rPr>
                <w:sz w:val="16"/>
                <w:szCs w:val="24"/>
              </w:rPr>
              <w:t>Expressão e Dinâmica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Intervalos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Inversão de Acordes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Acordes com sétima</w:t>
            </w:r>
          </w:p>
          <w:p w:rsidR="00F62B61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Acorde dominante e o trítono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Leitura de obras clássicas </w:t>
            </w:r>
          </w:p>
        </w:tc>
      </w:tr>
      <w:tr w:rsidR="001811F9" w:rsidTr="002D2B72">
        <w:trPr>
          <w:trHeight w:val="27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5</w:t>
            </w:r>
          </w:p>
          <w:p w:rsidR="001811F9" w:rsidRPr="00745EC4" w:rsidRDefault="005B7DF5" w:rsidP="006813A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Apreciação e análise de obras</w:t>
            </w:r>
          </w:p>
          <w:p w:rsidR="006813AE" w:rsidRPr="00745EC4" w:rsidRDefault="005B7DF5" w:rsidP="006813A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Funções harmônicas</w:t>
            </w:r>
          </w:p>
          <w:p w:rsidR="006813AE" w:rsidRPr="00745EC4" w:rsidRDefault="005B7DF5" w:rsidP="006813A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A condução do trítono </w:t>
            </w:r>
          </w:p>
          <w:p w:rsidR="005B7DF5" w:rsidRPr="00745EC4" w:rsidRDefault="005B7DF5" w:rsidP="006813A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Construção, conceituação, execução e improvisação em escalas pentatônicas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Compasso Alternado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Leitura</w:t>
            </w:r>
            <w:r w:rsidR="005B7DF5" w:rsidRPr="00745EC4">
              <w:rPr>
                <w:sz w:val="16"/>
                <w:szCs w:val="24"/>
              </w:rPr>
              <w:t xml:space="preserve"> </w:t>
            </w:r>
            <w:r w:rsidR="00D24948">
              <w:rPr>
                <w:sz w:val="16"/>
                <w:szCs w:val="24"/>
              </w:rPr>
              <w:t>à</w:t>
            </w:r>
            <w:r w:rsidR="005B7DF5" w:rsidRPr="00745EC4">
              <w:rPr>
                <w:sz w:val="16"/>
                <w:szCs w:val="24"/>
              </w:rPr>
              <w:t xml:space="preserve"> primeira vista</w:t>
            </w:r>
            <w:r w:rsidR="00D24948">
              <w:rPr>
                <w:sz w:val="16"/>
                <w:szCs w:val="24"/>
              </w:rPr>
              <w:t xml:space="preserve"> de peças simples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6</w:t>
            </w:r>
          </w:p>
          <w:p w:rsidR="001811F9" w:rsidRPr="00745EC4" w:rsidRDefault="005B7DF5" w:rsidP="006813A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Relação harmonia e melodia </w:t>
            </w:r>
          </w:p>
          <w:p w:rsidR="006813AE" w:rsidRPr="00745EC4" w:rsidRDefault="00D24948" w:rsidP="006813A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</w:t>
            </w:r>
            <w:r w:rsidR="005B7DF5" w:rsidRPr="00745EC4">
              <w:rPr>
                <w:sz w:val="16"/>
                <w:szCs w:val="24"/>
              </w:rPr>
              <w:t>odos gregos</w:t>
            </w:r>
          </w:p>
          <w:p w:rsidR="005B7DF5" w:rsidRPr="00745EC4" w:rsidRDefault="00745EC4" w:rsidP="006813A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Ornamentação melódica</w:t>
            </w:r>
          </w:p>
          <w:p w:rsidR="006813AE" w:rsidRPr="00745EC4" w:rsidRDefault="00745EC4" w:rsidP="006813A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Transcrição e análise de partituras</w:t>
            </w:r>
          </w:p>
          <w:p w:rsidR="00745EC4" w:rsidRPr="00745EC4" w:rsidRDefault="00745EC4" w:rsidP="006813A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Execução de m</w:t>
            </w:r>
            <w:r w:rsidR="00D24948">
              <w:rPr>
                <w:sz w:val="16"/>
                <w:szCs w:val="24"/>
              </w:rPr>
              <w:t>ú</w:t>
            </w:r>
            <w:r>
              <w:rPr>
                <w:sz w:val="16"/>
                <w:szCs w:val="24"/>
              </w:rPr>
              <w:t xml:space="preserve">sicas populares </w:t>
            </w:r>
          </w:p>
          <w:p w:rsidR="006813AE" w:rsidRDefault="00745EC4" w:rsidP="006813A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Apresentação em eventos da escola</w:t>
            </w:r>
          </w:p>
          <w:p w:rsidR="00745EC4" w:rsidRPr="00745EC4" w:rsidRDefault="00745EC4" w:rsidP="006813A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Frequência nas atividades de performance em grupo</w:t>
            </w:r>
          </w:p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ind w:left="720"/>
              <w:rPr>
                <w:sz w:val="16"/>
                <w:szCs w:val="24"/>
              </w:rPr>
            </w:pPr>
          </w:p>
        </w:tc>
      </w:tr>
      <w:tr w:rsidR="001811F9" w:rsidTr="002D2B72">
        <w:trPr>
          <w:trHeight w:val="309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7</w:t>
            </w:r>
          </w:p>
          <w:p w:rsidR="001811F9" w:rsidRDefault="00745EC4" w:rsidP="006813AE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Apreciação, análise e transcrição de peças</w:t>
            </w:r>
          </w:p>
          <w:p w:rsidR="00745EC4" w:rsidRPr="00745EC4" w:rsidRDefault="00745EC4" w:rsidP="006813AE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Improvisação sobre linguagem tradicional e moderna</w:t>
            </w:r>
          </w:p>
          <w:p w:rsidR="006813AE" w:rsidRPr="00745EC4" w:rsidRDefault="00745EC4" w:rsidP="006813AE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Funções harmônicas, harmonização e reharmonização</w:t>
            </w:r>
          </w:p>
          <w:p w:rsidR="006813AE" w:rsidRDefault="00745EC4" w:rsidP="006813AE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Analise estrutural,</w:t>
            </w:r>
            <w:r w:rsidR="00210015">
              <w:rPr>
                <w:sz w:val="16"/>
                <w:szCs w:val="24"/>
              </w:rPr>
              <w:t xml:space="preserve"> transposição, </w:t>
            </w:r>
          </w:p>
          <w:p w:rsidR="006813AE" w:rsidRDefault="00210015" w:rsidP="006813AE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Apresentação em eventos da escola</w:t>
            </w:r>
          </w:p>
          <w:p w:rsidR="00210015" w:rsidRPr="00745EC4" w:rsidRDefault="00210015" w:rsidP="006813AE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Frequência em atividades de performance em grupo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8</w:t>
            </w:r>
          </w:p>
          <w:p w:rsidR="00210015" w:rsidRDefault="00210015" w:rsidP="00210015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Apreciação, análise e transcrição de peças</w:t>
            </w:r>
          </w:p>
          <w:p w:rsidR="006813AE" w:rsidRPr="00745EC4" w:rsidRDefault="00210015" w:rsidP="006813AE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Noções de estilo de época, arranjo e contraponto</w:t>
            </w:r>
          </w:p>
          <w:p w:rsidR="006813AE" w:rsidRDefault="00210015" w:rsidP="006813AE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Leitura </w:t>
            </w:r>
            <w:r w:rsidR="00D24948">
              <w:rPr>
                <w:sz w:val="16"/>
                <w:szCs w:val="24"/>
              </w:rPr>
              <w:t>à</w:t>
            </w:r>
            <w:r>
              <w:rPr>
                <w:sz w:val="16"/>
                <w:szCs w:val="24"/>
              </w:rPr>
              <w:t xml:space="preserve"> primeira vista</w:t>
            </w:r>
            <w:r w:rsidR="00D24948">
              <w:rPr>
                <w:sz w:val="16"/>
                <w:szCs w:val="24"/>
              </w:rPr>
              <w:t xml:space="preserve"> de peças avançadas</w:t>
            </w:r>
          </w:p>
          <w:p w:rsidR="00210015" w:rsidRPr="00745EC4" w:rsidRDefault="00210015" w:rsidP="006813AE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Execução de peças eruditas </w:t>
            </w:r>
            <w:bookmarkStart w:id="0" w:name="_GoBack"/>
            <w:bookmarkEnd w:id="0"/>
          </w:p>
          <w:p w:rsidR="00210015" w:rsidRDefault="00210015" w:rsidP="00210015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Apresentação em eventos da escola</w:t>
            </w:r>
          </w:p>
          <w:p w:rsidR="006813AE" w:rsidRPr="00745EC4" w:rsidRDefault="00210015" w:rsidP="00210015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Frequência em atividades de performance em grupo</w:t>
            </w:r>
          </w:p>
        </w:tc>
      </w:tr>
    </w:tbl>
    <w:p w:rsidR="00991990" w:rsidRPr="001811F9" w:rsidRDefault="002E243E" w:rsidP="001811F9">
      <w:pPr>
        <w:jc w:val="center"/>
        <w:rPr>
          <w:b/>
          <w:sz w:val="36"/>
        </w:rPr>
      </w:pPr>
      <w:r>
        <w:rPr>
          <w:b/>
          <w:sz w:val="36"/>
        </w:rPr>
        <w:t>GRADE CURRICULAR</w:t>
      </w:r>
      <w:r w:rsidR="001811F9" w:rsidRPr="00203F79">
        <w:rPr>
          <w:b/>
          <w:sz w:val="36"/>
        </w:rPr>
        <w:t xml:space="preserve"> DE </w:t>
      </w:r>
      <w:r w:rsidR="006813AE">
        <w:rPr>
          <w:b/>
          <w:sz w:val="36"/>
        </w:rPr>
        <w:t>PIANO</w:t>
      </w:r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82" w:rsidRDefault="00A30682" w:rsidP="00BF34EE">
      <w:pPr>
        <w:spacing w:after="0" w:line="240" w:lineRule="auto"/>
      </w:pPr>
      <w:r>
        <w:separator/>
      </w:r>
    </w:p>
  </w:endnote>
  <w:endnote w:type="continuationSeparator" w:id="0">
    <w:p w:rsidR="00A30682" w:rsidRDefault="00A30682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187CDE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A30682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A30682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82" w:rsidRDefault="00A30682" w:rsidP="00BF34EE">
      <w:pPr>
        <w:spacing w:after="0" w:line="240" w:lineRule="auto"/>
      </w:pPr>
      <w:r>
        <w:separator/>
      </w:r>
    </w:p>
  </w:footnote>
  <w:footnote w:type="continuationSeparator" w:id="0">
    <w:p w:rsidR="00A30682" w:rsidRDefault="00A30682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921FD"/>
    <w:rsid w:val="0010773E"/>
    <w:rsid w:val="001235AE"/>
    <w:rsid w:val="00150A67"/>
    <w:rsid w:val="001811F9"/>
    <w:rsid w:val="00187CDE"/>
    <w:rsid w:val="001A7AEC"/>
    <w:rsid w:val="00210015"/>
    <w:rsid w:val="002267D5"/>
    <w:rsid w:val="002B23F2"/>
    <w:rsid w:val="002E243E"/>
    <w:rsid w:val="002F2E51"/>
    <w:rsid w:val="00355346"/>
    <w:rsid w:val="0039231C"/>
    <w:rsid w:val="003A1DD0"/>
    <w:rsid w:val="003D0FD4"/>
    <w:rsid w:val="0042174E"/>
    <w:rsid w:val="00505E05"/>
    <w:rsid w:val="00545893"/>
    <w:rsid w:val="00575E03"/>
    <w:rsid w:val="0058233A"/>
    <w:rsid w:val="005B7DF5"/>
    <w:rsid w:val="005D4C7F"/>
    <w:rsid w:val="00651587"/>
    <w:rsid w:val="006813AE"/>
    <w:rsid w:val="00700168"/>
    <w:rsid w:val="00722CB7"/>
    <w:rsid w:val="00723605"/>
    <w:rsid w:val="00741188"/>
    <w:rsid w:val="007443A3"/>
    <w:rsid w:val="00745EC4"/>
    <w:rsid w:val="00846A4F"/>
    <w:rsid w:val="00880DBD"/>
    <w:rsid w:val="008E5958"/>
    <w:rsid w:val="008F04F6"/>
    <w:rsid w:val="0091089D"/>
    <w:rsid w:val="00991990"/>
    <w:rsid w:val="009F44A3"/>
    <w:rsid w:val="00A30682"/>
    <w:rsid w:val="00A510D8"/>
    <w:rsid w:val="00AA3560"/>
    <w:rsid w:val="00AE6D6D"/>
    <w:rsid w:val="00B14E64"/>
    <w:rsid w:val="00B553E8"/>
    <w:rsid w:val="00B72917"/>
    <w:rsid w:val="00B94A67"/>
    <w:rsid w:val="00BF34EE"/>
    <w:rsid w:val="00C679A4"/>
    <w:rsid w:val="00C91E24"/>
    <w:rsid w:val="00C935E1"/>
    <w:rsid w:val="00CA0993"/>
    <w:rsid w:val="00CC1802"/>
    <w:rsid w:val="00CC3ECD"/>
    <w:rsid w:val="00CD0F00"/>
    <w:rsid w:val="00D24948"/>
    <w:rsid w:val="00E335DE"/>
    <w:rsid w:val="00EA2885"/>
    <w:rsid w:val="00F36CFA"/>
    <w:rsid w:val="00F549D8"/>
    <w:rsid w:val="00F62B61"/>
    <w:rsid w:val="00F76497"/>
    <w:rsid w:val="00FB236F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0B7E"/>
  <w15:docId w15:val="{A2215C17-8157-439F-8623-6E4CDD4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A345-E977-4A27-AE95-B5290AAF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2</cp:revision>
  <cp:lastPrinted>2019-10-30T15:37:00Z</cp:lastPrinted>
  <dcterms:created xsi:type="dcterms:W3CDTF">2020-04-02T16:46:00Z</dcterms:created>
  <dcterms:modified xsi:type="dcterms:W3CDTF">2020-04-02T16:46:00Z</dcterms:modified>
</cp:coreProperties>
</file>